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19859F6" w:rsidR="00A209D6" w:rsidRPr="00BC5F99" w:rsidRDefault="00A209D6" w:rsidP="00A209D6">
      <w:pPr>
        <w:pStyle w:val="Header"/>
        <w:tabs>
          <w:tab w:val="right" w:pos="9639"/>
        </w:tabs>
        <w:rPr>
          <w:bCs/>
          <w:i/>
          <w:noProof w:val="0"/>
          <w:sz w:val="24"/>
          <w:szCs w:val="24"/>
        </w:rPr>
      </w:pPr>
      <w:r w:rsidRPr="00BC5F99">
        <w:rPr>
          <w:bCs/>
          <w:noProof w:val="0"/>
          <w:sz w:val="24"/>
          <w:szCs w:val="24"/>
        </w:rPr>
        <w:t>3GPP TSG-RAN WG2 Meeting #</w:t>
      </w:r>
      <w:r w:rsidR="0036459E" w:rsidRPr="00BC5F99">
        <w:rPr>
          <w:bCs/>
          <w:noProof w:val="0"/>
          <w:sz w:val="24"/>
          <w:szCs w:val="24"/>
        </w:rPr>
        <w:t>11</w:t>
      </w:r>
      <w:r w:rsidR="00DF7C20" w:rsidRPr="00BC5F99">
        <w:rPr>
          <w:bCs/>
          <w:noProof w:val="0"/>
          <w:sz w:val="24"/>
          <w:szCs w:val="24"/>
        </w:rPr>
        <w:t>9</w:t>
      </w:r>
      <w:r w:rsidR="00A17176" w:rsidRPr="00BC5F99">
        <w:rPr>
          <w:bCs/>
          <w:noProof w:val="0"/>
          <w:sz w:val="24"/>
          <w:szCs w:val="24"/>
        </w:rPr>
        <w:t>bis</w:t>
      </w:r>
      <w:r w:rsidR="00244A05" w:rsidRPr="00BC5F99">
        <w:rPr>
          <w:bCs/>
          <w:noProof w:val="0"/>
          <w:sz w:val="24"/>
          <w:szCs w:val="24"/>
        </w:rPr>
        <w:t xml:space="preserve"> Electronic</w:t>
      </w:r>
      <w:r w:rsidRPr="00BC5F99">
        <w:rPr>
          <w:bCs/>
          <w:noProof w:val="0"/>
          <w:sz w:val="24"/>
          <w:szCs w:val="24"/>
        </w:rPr>
        <w:tab/>
      </w:r>
      <w:r w:rsidR="007A0F77" w:rsidRPr="00BC5F99">
        <w:rPr>
          <w:bCs/>
          <w:noProof w:val="0"/>
          <w:sz w:val="24"/>
          <w:szCs w:val="24"/>
        </w:rPr>
        <w:t>R2-2210236</w:t>
      </w:r>
    </w:p>
    <w:p w14:paraId="11776FA6" w14:textId="2BB835D3" w:rsidR="00A209D6" w:rsidRPr="00BC5F99" w:rsidRDefault="00A36F5F" w:rsidP="00A209D6">
      <w:pPr>
        <w:pStyle w:val="Header"/>
        <w:tabs>
          <w:tab w:val="right" w:pos="9639"/>
        </w:tabs>
        <w:rPr>
          <w:rFonts w:eastAsia="SimSun"/>
          <w:bCs/>
          <w:sz w:val="24"/>
          <w:szCs w:val="24"/>
          <w:lang w:eastAsia="zh-CN"/>
        </w:rPr>
      </w:pPr>
      <w:r w:rsidRPr="00BC5F99">
        <w:rPr>
          <w:rFonts w:eastAsia="SimSun"/>
          <w:bCs/>
          <w:sz w:val="24"/>
          <w:szCs w:val="24"/>
          <w:lang w:eastAsia="zh-CN"/>
        </w:rPr>
        <w:t xml:space="preserve">Elbonia, </w:t>
      </w:r>
      <w:r w:rsidR="00A17176" w:rsidRPr="00BC5F99">
        <w:rPr>
          <w:rFonts w:eastAsia="SimSun"/>
          <w:bCs/>
          <w:sz w:val="24"/>
          <w:szCs w:val="24"/>
          <w:lang w:eastAsia="zh-CN"/>
        </w:rPr>
        <w:t>10</w:t>
      </w:r>
      <w:r w:rsidR="005C7CD5" w:rsidRPr="00BC5F99">
        <w:rPr>
          <w:rFonts w:eastAsia="SimSun"/>
          <w:bCs/>
          <w:sz w:val="24"/>
          <w:szCs w:val="24"/>
          <w:lang w:eastAsia="zh-CN"/>
        </w:rPr>
        <w:t xml:space="preserve"> – </w:t>
      </w:r>
      <w:r w:rsidR="00A17176" w:rsidRPr="00BC5F99">
        <w:rPr>
          <w:rFonts w:eastAsia="SimSun"/>
          <w:bCs/>
          <w:sz w:val="24"/>
          <w:szCs w:val="24"/>
          <w:lang w:eastAsia="zh-CN"/>
        </w:rPr>
        <w:t>19</w:t>
      </w:r>
      <w:r w:rsidR="005C7CD5" w:rsidRPr="00BC5F99">
        <w:rPr>
          <w:rFonts w:eastAsia="SimSun"/>
          <w:bCs/>
          <w:sz w:val="24"/>
          <w:szCs w:val="24"/>
          <w:lang w:eastAsia="zh-CN"/>
        </w:rPr>
        <w:t xml:space="preserve"> </w:t>
      </w:r>
      <w:r w:rsidR="00A17176" w:rsidRPr="00BC5F99">
        <w:rPr>
          <w:rFonts w:eastAsia="SimSun"/>
          <w:bCs/>
          <w:sz w:val="24"/>
          <w:szCs w:val="24"/>
          <w:lang w:eastAsia="zh-CN"/>
        </w:rPr>
        <w:t>October</w:t>
      </w:r>
      <w:r w:rsidR="005C7CD5" w:rsidRPr="00BC5F99">
        <w:rPr>
          <w:rFonts w:eastAsia="SimSun"/>
          <w:bCs/>
          <w:sz w:val="24"/>
          <w:szCs w:val="24"/>
          <w:lang w:eastAsia="zh-CN"/>
        </w:rPr>
        <w:t xml:space="preserve"> 2022</w:t>
      </w:r>
      <w:r w:rsidR="00A209D6" w:rsidRPr="00BC5F99">
        <w:rPr>
          <w:rFonts w:eastAsia="SimSun"/>
          <w:noProof w:val="0"/>
          <w:sz w:val="24"/>
          <w:szCs w:val="24"/>
          <w:lang w:eastAsia="zh-CN"/>
        </w:rPr>
        <w:tab/>
      </w:r>
    </w:p>
    <w:p w14:paraId="2E02E5F5" w14:textId="77777777" w:rsidR="00A209D6" w:rsidRPr="00BC5F99" w:rsidRDefault="00A209D6" w:rsidP="00A209D6">
      <w:pPr>
        <w:pStyle w:val="Header"/>
        <w:rPr>
          <w:bCs/>
          <w:noProof w:val="0"/>
          <w:sz w:val="24"/>
        </w:rPr>
      </w:pPr>
    </w:p>
    <w:p w14:paraId="403CB9C0" w14:textId="77777777" w:rsidR="00A209D6" w:rsidRPr="00BC5F99" w:rsidRDefault="00A209D6" w:rsidP="00A209D6">
      <w:pPr>
        <w:pStyle w:val="Header"/>
        <w:rPr>
          <w:bCs/>
          <w:noProof w:val="0"/>
          <w:sz w:val="24"/>
        </w:rPr>
      </w:pPr>
    </w:p>
    <w:p w14:paraId="310B92C9" w14:textId="4CA2DE92" w:rsidR="00446C3A" w:rsidRPr="00BC5F99" w:rsidRDefault="00446C3A" w:rsidP="00446C3A">
      <w:pPr>
        <w:pStyle w:val="CRCoverPage"/>
        <w:tabs>
          <w:tab w:val="left" w:pos="1985"/>
        </w:tabs>
        <w:rPr>
          <w:rFonts w:cs="Arial"/>
          <w:b/>
          <w:bCs/>
          <w:sz w:val="24"/>
          <w:lang w:eastAsia="ja-JP"/>
        </w:rPr>
      </w:pPr>
      <w:r w:rsidRPr="00BC5F99">
        <w:rPr>
          <w:rFonts w:cs="Arial"/>
          <w:b/>
          <w:bCs/>
          <w:sz w:val="24"/>
        </w:rPr>
        <w:t>Agenda item:</w:t>
      </w:r>
      <w:r w:rsidRPr="00BC5F99">
        <w:rPr>
          <w:rFonts w:cs="Arial"/>
          <w:b/>
          <w:bCs/>
          <w:sz w:val="24"/>
        </w:rPr>
        <w:tab/>
      </w:r>
      <w:r w:rsidR="008947B2" w:rsidRPr="00BC5F99">
        <w:rPr>
          <w:rFonts w:cs="Arial"/>
          <w:b/>
          <w:bCs/>
          <w:sz w:val="24"/>
        </w:rPr>
        <w:t>6.17.2</w:t>
      </w:r>
    </w:p>
    <w:p w14:paraId="73188B46" w14:textId="77777777" w:rsidR="00446C3A" w:rsidRPr="00BC5F99" w:rsidRDefault="00446C3A" w:rsidP="00446C3A">
      <w:pPr>
        <w:tabs>
          <w:tab w:val="left" w:pos="1985"/>
        </w:tabs>
        <w:ind w:left="1985" w:hanging="1985"/>
        <w:rPr>
          <w:rFonts w:ascii="Arial" w:hAnsi="Arial" w:cs="Arial"/>
          <w:b/>
          <w:bCs/>
          <w:sz w:val="24"/>
        </w:rPr>
      </w:pPr>
      <w:r w:rsidRPr="00BC5F99">
        <w:rPr>
          <w:rFonts w:ascii="Arial" w:hAnsi="Arial" w:cs="Arial"/>
          <w:b/>
          <w:bCs/>
          <w:sz w:val="24"/>
        </w:rPr>
        <w:t>Source:</w:t>
      </w:r>
      <w:r w:rsidRPr="00BC5F99">
        <w:rPr>
          <w:rFonts w:ascii="Arial" w:hAnsi="Arial" w:cs="Arial"/>
          <w:b/>
          <w:bCs/>
          <w:sz w:val="24"/>
        </w:rPr>
        <w:tab/>
        <w:t>Nokia, Nokia Shanghai Bell</w:t>
      </w:r>
    </w:p>
    <w:p w14:paraId="553D264F" w14:textId="54F5B5D2" w:rsidR="00446C3A" w:rsidRPr="00BC5F99" w:rsidRDefault="00446C3A" w:rsidP="00446C3A">
      <w:pPr>
        <w:ind w:left="1985" w:hanging="1985"/>
        <w:rPr>
          <w:rFonts w:ascii="Arial" w:hAnsi="Arial" w:cs="Arial"/>
          <w:b/>
          <w:bCs/>
          <w:sz w:val="24"/>
        </w:rPr>
      </w:pPr>
      <w:r w:rsidRPr="00BC5F99">
        <w:rPr>
          <w:rFonts w:ascii="Arial" w:hAnsi="Arial" w:cs="Arial"/>
          <w:b/>
          <w:bCs/>
          <w:sz w:val="24"/>
        </w:rPr>
        <w:t>Title:</w:t>
      </w:r>
      <w:r w:rsidRPr="00BC5F99">
        <w:rPr>
          <w:rFonts w:ascii="Arial" w:hAnsi="Arial" w:cs="Arial"/>
          <w:b/>
          <w:bCs/>
          <w:sz w:val="24"/>
        </w:rPr>
        <w:tab/>
      </w:r>
      <w:r w:rsidR="008947B2" w:rsidRPr="00BC5F99">
        <w:rPr>
          <w:rFonts w:ascii="Arial" w:hAnsi="Arial" w:cs="Arial"/>
          <w:b/>
          <w:bCs/>
          <w:sz w:val="24"/>
        </w:rPr>
        <w:t>PL-RS handling for UL TCI states</w:t>
      </w:r>
    </w:p>
    <w:p w14:paraId="25F387E8" w14:textId="3BEA7898" w:rsidR="00446C3A" w:rsidRPr="00BC5F99" w:rsidRDefault="00446C3A" w:rsidP="00446C3A">
      <w:pPr>
        <w:ind w:left="1985" w:hanging="1985"/>
        <w:rPr>
          <w:rFonts w:ascii="Arial" w:hAnsi="Arial" w:cs="Arial"/>
          <w:b/>
          <w:bCs/>
          <w:sz w:val="24"/>
        </w:rPr>
      </w:pPr>
      <w:r w:rsidRPr="00BC5F99">
        <w:rPr>
          <w:rFonts w:ascii="Arial" w:hAnsi="Arial" w:cs="Arial"/>
          <w:b/>
          <w:bCs/>
          <w:sz w:val="24"/>
        </w:rPr>
        <w:t>WID/SID:</w:t>
      </w:r>
      <w:r w:rsidRPr="00BC5F99">
        <w:rPr>
          <w:rFonts w:ascii="Arial" w:hAnsi="Arial" w:cs="Arial"/>
          <w:b/>
          <w:bCs/>
          <w:sz w:val="24"/>
        </w:rPr>
        <w:tab/>
      </w:r>
      <w:r w:rsidR="008947B2" w:rsidRPr="00BC5F99">
        <w:rPr>
          <w:rFonts w:ascii="Arial" w:hAnsi="Arial" w:cs="Arial"/>
          <w:b/>
          <w:bCs/>
          <w:sz w:val="24"/>
        </w:rPr>
        <w:t>NR_FeMIMO-Core</w:t>
      </w:r>
      <w:r w:rsidRPr="00BC5F99">
        <w:rPr>
          <w:rFonts w:ascii="Arial" w:hAnsi="Arial" w:cs="Arial"/>
          <w:b/>
          <w:bCs/>
          <w:sz w:val="24"/>
        </w:rPr>
        <w:t xml:space="preserve"> - Release </w:t>
      </w:r>
      <w:r w:rsidR="008947B2" w:rsidRPr="00BC5F99">
        <w:rPr>
          <w:rFonts w:ascii="Arial" w:hAnsi="Arial" w:cs="Arial"/>
          <w:b/>
          <w:bCs/>
          <w:sz w:val="24"/>
        </w:rPr>
        <w:t>17</w:t>
      </w:r>
    </w:p>
    <w:p w14:paraId="6FEB19D6" w14:textId="77777777" w:rsidR="00446C3A" w:rsidRPr="00BC5F99" w:rsidRDefault="00446C3A" w:rsidP="00446C3A">
      <w:pPr>
        <w:tabs>
          <w:tab w:val="left" w:pos="1985"/>
        </w:tabs>
        <w:rPr>
          <w:rFonts w:ascii="Arial" w:hAnsi="Arial" w:cs="Arial"/>
          <w:b/>
          <w:bCs/>
          <w:sz w:val="24"/>
        </w:rPr>
      </w:pPr>
      <w:r w:rsidRPr="00BC5F99">
        <w:rPr>
          <w:rFonts w:ascii="Arial" w:hAnsi="Arial" w:cs="Arial"/>
          <w:b/>
          <w:bCs/>
          <w:sz w:val="24"/>
        </w:rPr>
        <w:t>Document for:</w:t>
      </w:r>
      <w:r w:rsidRPr="00BC5F99">
        <w:rPr>
          <w:rFonts w:ascii="Arial" w:hAnsi="Arial" w:cs="Arial"/>
          <w:b/>
          <w:bCs/>
          <w:sz w:val="24"/>
        </w:rPr>
        <w:tab/>
        <w:t>Discussion and Decision</w:t>
      </w:r>
    </w:p>
    <w:p w14:paraId="294B1FC1" w14:textId="77777777" w:rsidR="00A209D6" w:rsidRPr="00BC5F99" w:rsidRDefault="00A209D6" w:rsidP="00A209D6">
      <w:pPr>
        <w:pStyle w:val="Heading1"/>
      </w:pPr>
      <w:r w:rsidRPr="00BC5F99">
        <w:t>1</w:t>
      </w:r>
      <w:r w:rsidRPr="00BC5F99">
        <w:tab/>
        <w:t>Introduction</w:t>
      </w:r>
    </w:p>
    <w:p w14:paraId="2054EC9B" w14:textId="12717CFB" w:rsidR="00F85E43" w:rsidRPr="00BC5F99" w:rsidRDefault="00F85E43" w:rsidP="00F85E43">
      <w:r w:rsidRPr="00BC5F99">
        <w:t xml:space="preserve">The RAN4 LS in </w:t>
      </w:r>
      <w:hyperlink r:id="rId12" w:tgtFrame="_blank" w:history="1">
        <w:r w:rsidRPr="00BC5F99">
          <w:rPr>
            <w:rStyle w:val="Hyperlink"/>
          </w:rPr>
          <w:t>R2-2209345</w:t>
        </w:r>
      </w:hyperlink>
      <w:r w:rsidRPr="00BC5F99">
        <w:t xml:space="preserve"> (R4-2214972) is asking some questions from RAN1/2 about the maintenance and handling of Pathloss Reference Signals (PL-RS) for UL TCI states: While it is allowed to have up to 8 UL TCI states in the MAC CE, currently RAN1 has stated that maximum of 4 active UL TCUI states are supported. The RAN4 LS is now trying to clarify what this would mean and asks the following questions from RAN1/2:</w:t>
      </w:r>
    </w:p>
    <w:p w14:paraId="7505C5BB" w14:textId="77777777" w:rsidR="00F85E43" w:rsidRPr="00BC5F99" w:rsidRDefault="00F85E43" w:rsidP="00F85E43">
      <w:pPr>
        <w:pBdr>
          <w:top w:val="single" w:sz="4" w:space="1" w:color="auto"/>
          <w:left w:val="single" w:sz="4" w:space="4" w:color="auto"/>
          <w:bottom w:val="single" w:sz="4" w:space="1" w:color="auto"/>
          <w:right w:val="single" w:sz="4" w:space="4" w:color="auto"/>
        </w:pBdr>
        <w:spacing w:after="120"/>
        <w:jc w:val="both"/>
        <w:rPr>
          <w:sz w:val="22"/>
        </w:rPr>
      </w:pPr>
      <w:r w:rsidRPr="00BC5F99">
        <w:rPr>
          <w:sz w:val="22"/>
        </w:rPr>
        <w:t>RAN4 would like clarification from RAN1/2 on maintained pathloss reference RS.</w:t>
      </w:r>
    </w:p>
    <w:p w14:paraId="797F8573" w14:textId="77777777" w:rsidR="00F85E43" w:rsidRPr="00BC5F99" w:rsidRDefault="00F85E43" w:rsidP="00F85E43">
      <w:pPr>
        <w:pBdr>
          <w:top w:val="single" w:sz="4" w:space="1" w:color="auto"/>
          <w:left w:val="single" w:sz="4" w:space="4" w:color="auto"/>
          <w:bottom w:val="single" w:sz="4" w:space="1" w:color="auto"/>
          <w:right w:val="single" w:sz="4" w:space="4" w:color="auto"/>
        </w:pBdr>
        <w:spacing w:after="120"/>
        <w:jc w:val="both"/>
        <w:rPr>
          <w:sz w:val="22"/>
        </w:rPr>
      </w:pPr>
      <w:r w:rsidRPr="00BC5F99">
        <w:rPr>
          <w:b/>
          <w:sz w:val="22"/>
        </w:rPr>
        <w:t>Question 1</w:t>
      </w:r>
      <w:r w:rsidRPr="00BC5F99">
        <w:rPr>
          <w:sz w:val="22"/>
        </w:rPr>
        <w:t xml:space="preserve">: What is the relationship between  </w:t>
      </w:r>
      <m:oMath>
        <m:sSub>
          <m:sSubPr>
            <m:ctrlPr>
              <w:rPr>
                <w:rFonts w:ascii="Cambria Math" w:eastAsia="MS Mincho" w:hAnsi="Cambria Math"/>
                <w:i/>
                <w:sz w:val="22"/>
              </w:rPr>
            </m:ctrlPr>
          </m:sSubPr>
          <m:e>
            <m:r>
              <w:rPr>
                <w:rFonts w:ascii="Cambria Math" w:eastAsia="MS Mincho" w:hAnsi="Cambria Math"/>
                <w:sz w:val="22"/>
              </w:rPr>
              <m:t>q</m:t>
            </m:r>
          </m:e>
          <m:sub>
            <m:r>
              <w:rPr>
                <w:rFonts w:ascii="Cambria Math" w:eastAsia="MS Mincho" w:hAnsi="Cambria Math"/>
                <w:sz w:val="22"/>
              </w:rPr>
              <m:t>d</m:t>
            </m:r>
          </m:sub>
        </m:sSub>
      </m:oMath>
      <w:r w:rsidRPr="00BC5F99">
        <w:rPr>
          <w:sz w:val="22"/>
        </w:rPr>
        <w:t xml:space="preserve"> and active UL (or joint) TCI state list? How does network configure the </w:t>
      </w:r>
      <w:r w:rsidRPr="00BC5F99">
        <w:rPr>
          <w:rFonts w:eastAsia="MS Mincho"/>
          <w:sz w:val="22"/>
        </w:rPr>
        <w:t>RS resource indexes</w:t>
      </w:r>
      <w:r w:rsidRPr="00BC5F99">
        <w:rPr>
          <w:sz w:val="22"/>
        </w:rPr>
        <w:t xml:space="preserve"> </w:t>
      </w:r>
      <m:oMath>
        <m:sSub>
          <m:sSubPr>
            <m:ctrlPr>
              <w:rPr>
                <w:rFonts w:ascii="Cambria Math" w:eastAsia="MS Mincho" w:hAnsi="Cambria Math"/>
                <w:i/>
                <w:sz w:val="22"/>
              </w:rPr>
            </m:ctrlPr>
          </m:sSubPr>
          <m:e>
            <m:r>
              <w:rPr>
                <w:rFonts w:ascii="Cambria Math" w:eastAsia="MS Mincho" w:hAnsi="Cambria Math"/>
                <w:sz w:val="22"/>
              </w:rPr>
              <m:t>q</m:t>
            </m:r>
          </m:e>
          <m:sub>
            <m:r>
              <w:rPr>
                <w:rFonts w:ascii="Cambria Math" w:eastAsia="MS Mincho" w:hAnsi="Cambria Math"/>
                <w:sz w:val="22"/>
              </w:rPr>
              <m:t>d</m:t>
            </m:r>
          </m:sub>
        </m:sSub>
      </m:oMath>
      <w:r w:rsidRPr="00BC5F99">
        <w:rPr>
          <w:sz w:val="22"/>
        </w:rPr>
        <w:t xml:space="preserve"> ?</w:t>
      </w:r>
    </w:p>
    <w:p w14:paraId="2C2F89FC" w14:textId="77777777" w:rsidR="00F85E43" w:rsidRPr="00BC5F99" w:rsidRDefault="00F85E43" w:rsidP="00F85E43">
      <w:pPr>
        <w:pBdr>
          <w:top w:val="single" w:sz="4" w:space="1" w:color="auto"/>
          <w:left w:val="single" w:sz="4" w:space="4" w:color="auto"/>
          <w:bottom w:val="single" w:sz="4" w:space="1" w:color="auto"/>
          <w:right w:val="single" w:sz="4" w:space="4" w:color="auto"/>
        </w:pBdr>
        <w:spacing w:after="120"/>
        <w:jc w:val="both"/>
        <w:rPr>
          <w:sz w:val="22"/>
        </w:rPr>
      </w:pPr>
      <w:r w:rsidRPr="00BC5F99">
        <w:rPr>
          <w:b/>
          <w:sz w:val="22"/>
        </w:rPr>
        <w:t>Question 2</w:t>
      </w:r>
      <w:r w:rsidRPr="00BC5F99">
        <w:rPr>
          <w:sz w:val="22"/>
        </w:rPr>
        <w:t>: Is UE expected to maintain the pathloss RSs of all the pathloss reference RS in the active UL (or joint) TCI list?</w:t>
      </w:r>
    </w:p>
    <w:p w14:paraId="36CD501B" w14:textId="77777777" w:rsidR="00F85E43" w:rsidRPr="00BC5F99" w:rsidRDefault="00F85E43" w:rsidP="00F85E43">
      <w:pPr>
        <w:pBdr>
          <w:top w:val="single" w:sz="4" w:space="1" w:color="auto"/>
          <w:left w:val="single" w:sz="4" w:space="4" w:color="auto"/>
          <w:bottom w:val="single" w:sz="4" w:space="1" w:color="auto"/>
          <w:right w:val="single" w:sz="4" w:space="4" w:color="auto"/>
        </w:pBdr>
        <w:spacing w:after="120"/>
        <w:jc w:val="both"/>
        <w:rPr>
          <w:sz w:val="22"/>
        </w:rPr>
      </w:pPr>
      <w:r w:rsidRPr="00BC5F99">
        <w:rPr>
          <w:b/>
          <w:sz w:val="22"/>
        </w:rPr>
        <w:t>Question 3</w:t>
      </w:r>
      <w:r w:rsidRPr="00BC5F99">
        <w:rPr>
          <w:sz w:val="22"/>
        </w:rPr>
        <w:t>: What is the UE behavior when number of active UL (or joint) TCI states is larger than 4 if corresponding pathloss RSs need to be maintained?</w:t>
      </w:r>
    </w:p>
    <w:p w14:paraId="7D86E130" w14:textId="54DDCF60" w:rsidR="00F85E43" w:rsidRPr="00BC5F99" w:rsidRDefault="00F85E43" w:rsidP="00F85E43">
      <w:r w:rsidRPr="00BC5F99">
        <w:t>We would note that Q1 is more related to RAN1, but RAN2 can also indicate the configuration relationship (since that is asked). For Q2, RAN2 can only note what is configured, the rest of the behaviour is under RAN1 domain. Finally, for Q3 RAN2 can note that current UE capabilities allow for UE to indicate more than 4 UL TCI states to be active, which means RAN2 expects UE beh</w:t>
      </w:r>
      <w:r w:rsidR="003672A1" w:rsidRPr="00BC5F99">
        <w:t>a</w:t>
      </w:r>
      <w:r w:rsidRPr="00BC5F99">
        <w:t>viour is defined for those cases. I</w:t>
      </w:r>
      <w:r w:rsidR="006D3AB0" w:rsidRPr="00BC5F99">
        <w:t>f</w:t>
      </w:r>
      <w:r w:rsidRPr="00BC5F99">
        <w:t xml:space="preserve"> it’s not, then the capabilities might need to be altered.</w:t>
      </w:r>
    </w:p>
    <w:p w14:paraId="4854EE57" w14:textId="33D99E6E" w:rsidR="009339CB" w:rsidRPr="00BC5F99" w:rsidRDefault="00F85E43" w:rsidP="009339CB">
      <w:r w:rsidRPr="00BC5F99">
        <w:rPr>
          <w:b/>
          <w:bCs/>
        </w:rPr>
        <w:t>Observation 1:</w:t>
      </w:r>
      <w:r w:rsidRPr="00BC5F99">
        <w:t xml:space="preserve"> </w:t>
      </w:r>
      <w:r w:rsidR="006D3AB0" w:rsidRPr="00BC5F99">
        <w:t>The</w:t>
      </w:r>
      <w:r w:rsidRPr="00BC5F99">
        <w:t xml:space="preserve"> questions Q1-Q3 are </w:t>
      </w:r>
      <w:r w:rsidR="006D3AB0" w:rsidRPr="00BC5F99">
        <w:t xml:space="preserve">mostly </w:t>
      </w:r>
      <w:r w:rsidRPr="00BC5F99">
        <w:t xml:space="preserve">related to RAN1 </w:t>
      </w:r>
      <w:r w:rsidR="006D3AB0" w:rsidRPr="00BC5F99">
        <w:t>but also have some RAN2 aspects to consider</w:t>
      </w:r>
      <w:r w:rsidRPr="00BC5F99">
        <w:t>.</w:t>
      </w:r>
    </w:p>
    <w:p w14:paraId="7D484B6E" w14:textId="099D12AA" w:rsidR="009339CB" w:rsidRPr="00BC5F99" w:rsidRDefault="009339CB" w:rsidP="009339CB">
      <w:pPr>
        <w:pStyle w:val="Heading1"/>
      </w:pPr>
      <w:r w:rsidRPr="00BC5F99">
        <w:t>2</w:t>
      </w:r>
      <w:r w:rsidRPr="00BC5F99">
        <w:tab/>
      </w:r>
      <w:r w:rsidR="00F85E43" w:rsidRPr="00BC5F99">
        <w:t>PL-RS for UL TCI states</w:t>
      </w:r>
      <w:r w:rsidRPr="00BC5F99">
        <w:t xml:space="preserve"> </w:t>
      </w:r>
    </w:p>
    <w:p w14:paraId="066B9406" w14:textId="2AAECE2F" w:rsidR="00F85E43" w:rsidRPr="00BC5F99" w:rsidRDefault="00F85E43" w:rsidP="00F85E43">
      <w:pPr>
        <w:pStyle w:val="Heading2"/>
      </w:pPr>
      <w:r w:rsidRPr="00BC5F99">
        <w:t>2.1</w:t>
      </w:r>
      <w:r w:rsidRPr="00BC5F99">
        <w:tab/>
        <w:t>Question 1: q</w:t>
      </w:r>
      <w:r w:rsidRPr="00BC5F99">
        <w:rPr>
          <w:vertAlign w:val="subscript"/>
        </w:rPr>
        <w:t>d</w:t>
      </w:r>
      <w:r w:rsidRPr="00BC5F99">
        <w:t xml:space="preserve"> and UL/Joint TCI state list</w:t>
      </w:r>
    </w:p>
    <w:p w14:paraId="2BFEB4C6" w14:textId="4C65D409" w:rsidR="00F85E43" w:rsidRPr="00BC5F99" w:rsidRDefault="00F85E43" w:rsidP="009339CB">
      <w:r w:rsidRPr="00BC5F99">
        <w:t xml:space="preserve">The </w:t>
      </w:r>
      <w:r w:rsidRPr="00BC5F99">
        <w:rPr>
          <w:b/>
          <w:bCs/>
        </w:rPr>
        <w:t>q</w:t>
      </w:r>
      <w:r w:rsidRPr="00BC5F99">
        <w:rPr>
          <w:b/>
          <w:bCs/>
          <w:vertAlign w:val="subscript"/>
        </w:rPr>
        <w:t>d</w:t>
      </w:r>
      <w:r w:rsidRPr="00BC5F99">
        <w:t xml:space="preserve"> is defined in RAN1 specification TS38.213 as per following::</w:t>
      </w:r>
    </w:p>
    <w:tbl>
      <w:tblPr>
        <w:tblStyle w:val="TableGrid"/>
        <w:tblW w:w="0" w:type="auto"/>
        <w:tblLook w:val="04A0" w:firstRow="1" w:lastRow="0" w:firstColumn="1" w:lastColumn="0" w:noHBand="0" w:noVBand="1"/>
      </w:tblPr>
      <w:tblGrid>
        <w:gridCol w:w="9631"/>
      </w:tblGrid>
      <w:tr w:rsidR="00F85E43" w:rsidRPr="00BC5F99" w14:paraId="1868D18B" w14:textId="77777777" w:rsidTr="00F85E43">
        <w:tc>
          <w:tcPr>
            <w:tcW w:w="9631" w:type="dxa"/>
          </w:tcPr>
          <w:p w14:paraId="67CE0A0A" w14:textId="77777777" w:rsidR="00F85E43" w:rsidRPr="00BC5F99" w:rsidRDefault="00F85E43" w:rsidP="00F85E43">
            <w:pPr>
              <w:rPr>
                <w:lang w:eastAsia="ko-KR"/>
              </w:rPr>
            </w:pPr>
            <w:r w:rsidRPr="00BC5F99">
              <w:rPr>
                <w:lang w:eastAsia="ko-KR"/>
              </w:rPr>
              <w:t xml:space="preserve">In the remaining of this clause, if a UE is provided </w:t>
            </w:r>
            <w:r w:rsidRPr="00BC5F99">
              <w:rPr>
                <w:rFonts w:cs="Times"/>
                <w:i/>
                <w:iCs/>
                <w:szCs w:val="18"/>
                <w:lang w:eastAsia="zh-CN"/>
              </w:rPr>
              <w:t>TCIState</w:t>
            </w:r>
            <w:r w:rsidRPr="00BC5F99">
              <w:rPr>
                <w:rFonts w:cs="Times"/>
                <w:iCs/>
                <w:szCs w:val="18"/>
                <w:lang w:eastAsia="zh-CN"/>
              </w:rPr>
              <w:t xml:space="preserve"> in</w:t>
            </w:r>
            <w:r w:rsidRPr="00BC5F99">
              <w:t xml:space="preserve"> </w:t>
            </w:r>
            <w:r w:rsidRPr="00BC5F99">
              <w:rPr>
                <w:rFonts w:cs="Times"/>
                <w:i/>
                <w:szCs w:val="18"/>
                <w:lang w:eastAsia="zh-CN"/>
              </w:rPr>
              <w:t>dl-OrJoint-TCIStateList</w:t>
            </w:r>
            <w:r w:rsidRPr="00BC5F99">
              <w:rPr>
                <w:rFonts w:cs="Times"/>
                <w:iCs/>
                <w:szCs w:val="18"/>
                <w:lang w:eastAsia="zh-CN"/>
              </w:rPr>
              <w:t xml:space="preserve"> or</w:t>
            </w:r>
            <w:r w:rsidRPr="00BC5F99">
              <w:t xml:space="preserve"> </w:t>
            </w:r>
            <w:r w:rsidRPr="00BC5F99">
              <w:rPr>
                <w:i/>
                <w:iCs/>
              </w:rPr>
              <w:t>UL-TCIstate</w:t>
            </w:r>
            <w:r w:rsidRPr="00BC5F99">
              <w:rPr>
                <w:lang w:eastAsia="ko-KR"/>
              </w:rPr>
              <w:t xml:space="preserve"> and for an indicated </w:t>
            </w:r>
            <w:r w:rsidRPr="00BC5F99">
              <w:rPr>
                <w:rFonts w:cs="Times"/>
                <w:i/>
                <w:iCs/>
                <w:szCs w:val="18"/>
                <w:lang w:eastAsia="zh-CN"/>
              </w:rPr>
              <w:t>TCIState</w:t>
            </w:r>
            <w:r w:rsidRPr="00BC5F99">
              <w:rPr>
                <w:rFonts w:cs="Times"/>
                <w:iCs/>
                <w:szCs w:val="18"/>
                <w:lang w:eastAsia="zh-CN"/>
              </w:rPr>
              <w:t xml:space="preserve"> or</w:t>
            </w:r>
            <w:r w:rsidRPr="00BC5F99">
              <w:t xml:space="preserve"> </w:t>
            </w:r>
            <w:r w:rsidRPr="00BC5F99">
              <w:rPr>
                <w:i/>
                <w:iCs/>
              </w:rPr>
              <w:t>UL-TCIstate</w:t>
            </w:r>
            <w:r w:rsidRPr="00BC5F99">
              <w:t xml:space="preserve"> as described in [6, TS 38.214]</w:t>
            </w:r>
            <w:r w:rsidRPr="00BC5F99">
              <w:rPr>
                <w:lang w:eastAsia="ko-KR"/>
              </w:rPr>
              <w:t xml:space="preserve"> </w:t>
            </w:r>
          </w:p>
          <w:p w14:paraId="3B71D0EC" w14:textId="74F84987" w:rsidR="00F85E43" w:rsidRPr="00BC5F99" w:rsidRDefault="00F85E43" w:rsidP="00F85E43">
            <w:pPr>
              <w:pStyle w:val="B1"/>
              <w:rPr>
                <w:lang w:eastAsia="ko-KR"/>
              </w:rPr>
            </w:pPr>
            <w:r w:rsidRPr="00BC5F99">
              <w:t>-</w:t>
            </w:r>
            <w:r w:rsidRPr="00BC5F99">
              <w:tab/>
            </w:r>
            <w:r w:rsidRPr="00BC5F99">
              <w:rPr>
                <w:highlight w:val="yellow"/>
              </w:rPr>
              <w:t xml:space="preserve">in clauses 7.1.1, 7.2.1, and 7.3.1, the RS index </w:t>
            </w:r>
            <m:oMath>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d</m:t>
                  </m:r>
                </m:sub>
              </m:sSub>
            </m:oMath>
            <w:r w:rsidRPr="00BC5F99">
              <w:rPr>
                <w:iCs/>
                <w:highlight w:val="yellow"/>
              </w:rPr>
              <w:t xml:space="preserve"> for obtaining the downlink pathloss estimate for PUSCH, PUCCH, and SRS transmission is provided by </w:t>
            </w:r>
            <w:r w:rsidRPr="00BC5F99">
              <w:rPr>
                <w:i/>
                <w:highlight w:val="yellow"/>
              </w:rPr>
              <w:t>PL-RS</w:t>
            </w:r>
            <w:r w:rsidRPr="00BC5F99">
              <w:rPr>
                <w:iCs/>
                <w:highlight w:val="yellow"/>
              </w:rPr>
              <w:t xml:space="preserve"> associated with or included in the </w:t>
            </w:r>
            <w:r w:rsidRPr="00BC5F99">
              <w:rPr>
                <w:highlight w:val="yellow"/>
                <w:lang w:eastAsia="ko-KR"/>
              </w:rPr>
              <w:t xml:space="preserve">indicated </w:t>
            </w:r>
            <w:r w:rsidRPr="00BC5F99">
              <w:rPr>
                <w:rFonts w:cs="Times"/>
                <w:i/>
                <w:iCs/>
                <w:szCs w:val="18"/>
                <w:highlight w:val="yellow"/>
                <w:lang w:eastAsia="zh-CN"/>
              </w:rPr>
              <w:t>TCIState</w:t>
            </w:r>
            <w:r w:rsidRPr="00BC5F99">
              <w:rPr>
                <w:rFonts w:cs="Times"/>
                <w:iCs/>
                <w:szCs w:val="18"/>
                <w:highlight w:val="yellow"/>
                <w:lang w:eastAsia="zh-CN"/>
              </w:rPr>
              <w:t xml:space="preserve"> or</w:t>
            </w:r>
            <w:r w:rsidRPr="00BC5F99">
              <w:rPr>
                <w:highlight w:val="yellow"/>
              </w:rPr>
              <w:t xml:space="preserve"> </w:t>
            </w:r>
            <w:r w:rsidRPr="00BC5F99">
              <w:rPr>
                <w:i/>
                <w:iCs/>
                <w:highlight w:val="yellow"/>
              </w:rPr>
              <w:t>UL-TCIstate</w:t>
            </w:r>
            <w:r w:rsidRPr="00BC5F99">
              <w:rPr>
                <w:highlight w:val="yellow"/>
              </w:rPr>
              <w:t xml:space="preserve"> except for SRS transmission that is not provided </w:t>
            </w:r>
            <w:r w:rsidRPr="00BC5F99">
              <w:rPr>
                <w:i/>
                <w:iCs/>
                <w:highlight w:val="yellow"/>
              </w:rPr>
              <w:t>followUnifiedTCIstateSRS</w:t>
            </w:r>
          </w:p>
        </w:tc>
      </w:tr>
    </w:tbl>
    <w:p w14:paraId="1595FCAA" w14:textId="1D52B0B1" w:rsidR="00F85E43" w:rsidRPr="00BC5F99" w:rsidRDefault="00F85E43" w:rsidP="009339CB"/>
    <w:p w14:paraId="08513279" w14:textId="6F246A6A" w:rsidR="00F85E43" w:rsidRPr="00BC5F99" w:rsidRDefault="00F85E43" w:rsidP="009339CB">
      <w:r w:rsidRPr="00BC5F99">
        <w:t xml:space="preserve">Hence, </w:t>
      </w:r>
      <w:r w:rsidR="00F51E57" w:rsidRPr="00BC5F99">
        <w:t xml:space="preserve">the </w:t>
      </w:r>
      <w:r w:rsidR="00F51E57" w:rsidRPr="00BC5F99">
        <w:rPr>
          <w:b/>
          <w:bCs/>
        </w:rPr>
        <w:t>q</w:t>
      </w:r>
      <w:r w:rsidR="00F51E57" w:rsidRPr="00BC5F99">
        <w:rPr>
          <w:b/>
          <w:bCs/>
          <w:vertAlign w:val="subscript"/>
        </w:rPr>
        <w:t>d</w:t>
      </w:r>
      <w:r w:rsidRPr="00BC5F99">
        <w:t xml:space="preserve"> </w:t>
      </w:r>
      <w:r w:rsidR="00F51E57" w:rsidRPr="00BC5F99">
        <w:t>refers to the PL-RS indicate in the TCI state configurations as shown below:</w:t>
      </w:r>
    </w:p>
    <w:p w14:paraId="63136562" w14:textId="065D8D92" w:rsidR="00F51E57" w:rsidRPr="00BC5F99" w:rsidRDefault="00F51E57" w:rsidP="009339CB">
      <w:pPr>
        <w:rPr>
          <w:u w:val="single"/>
        </w:rPr>
      </w:pPr>
      <w:r w:rsidRPr="00BC5F99">
        <w:rPr>
          <w:u w:val="single"/>
        </w:rPr>
        <w:t>Joint TCI state</w:t>
      </w:r>
    </w:p>
    <w:p w14:paraId="0813650E"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TCI-State ::=                       </w:t>
      </w:r>
      <w:r w:rsidRPr="00BC5F99">
        <w:rPr>
          <w:rFonts w:ascii="Courier New" w:hAnsi="Courier New"/>
          <w:noProof/>
          <w:color w:val="993366"/>
          <w:sz w:val="16"/>
          <w:lang w:eastAsia="en-GB"/>
        </w:rPr>
        <w:t>SEQUENCE</w:t>
      </w:r>
      <w:r w:rsidRPr="00BC5F99">
        <w:rPr>
          <w:rFonts w:ascii="Courier New" w:hAnsi="Courier New"/>
          <w:noProof/>
          <w:sz w:val="16"/>
          <w:lang w:eastAsia="en-GB"/>
        </w:rPr>
        <w:t xml:space="preserve"> {</w:t>
      </w:r>
    </w:p>
    <w:p w14:paraId="6B187B63"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tci-StateId                         TCI-StateId,</w:t>
      </w:r>
    </w:p>
    <w:p w14:paraId="254272BD"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qcl-Type1                           QCL-Info,</w:t>
      </w:r>
    </w:p>
    <w:p w14:paraId="01387430"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lastRenderedPageBreak/>
        <w:t xml:space="preserve">    qcl-Type2                           QCL-Info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Need R</w:t>
      </w:r>
    </w:p>
    <w:p w14:paraId="6DCDF967"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11E5C574"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36D4BAD9"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additionalPCI-r17                   AdditionalPCIIndex-r17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Need R</w:t>
      </w:r>
    </w:p>
    <w:p w14:paraId="1A10EA28"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w:t>
      </w:r>
      <w:r w:rsidRPr="00BC5F99">
        <w:rPr>
          <w:rFonts w:ascii="Courier New" w:hAnsi="Courier New"/>
          <w:noProof/>
          <w:sz w:val="16"/>
          <w:highlight w:val="yellow"/>
          <w:lang w:eastAsia="en-GB"/>
        </w:rPr>
        <w:t xml:space="preserve">pathlossReferenceRS-Id-r17          PUSCH-PathlossReferenceRS-Id-r17                            </w:t>
      </w:r>
      <w:r w:rsidRPr="00BC5F99">
        <w:rPr>
          <w:rFonts w:ascii="Courier New" w:hAnsi="Courier New"/>
          <w:noProof/>
          <w:color w:val="993366"/>
          <w:sz w:val="16"/>
          <w:highlight w:val="yellow"/>
          <w:lang w:eastAsia="en-GB"/>
        </w:rPr>
        <w:t>OPTIONAL</w:t>
      </w:r>
      <w:r w:rsidRPr="00BC5F99">
        <w:rPr>
          <w:rFonts w:ascii="Courier New" w:hAnsi="Courier New"/>
          <w:noProof/>
          <w:sz w:val="16"/>
          <w:highlight w:val="yellow"/>
          <w:lang w:eastAsia="en-GB"/>
        </w:rPr>
        <w:t xml:space="preserve">,   </w:t>
      </w:r>
      <w:r w:rsidRPr="00BC5F99">
        <w:rPr>
          <w:rFonts w:ascii="Courier New" w:hAnsi="Courier New"/>
          <w:noProof/>
          <w:color w:val="808080"/>
          <w:sz w:val="16"/>
          <w:highlight w:val="yellow"/>
          <w:lang w:eastAsia="en-GB"/>
        </w:rPr>
        <w:t>-- Cond JointTCI</w:t>
      </w:r>
    </w:p>
    <w:p w14:paraId="15F3B369"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ul-powerControl-r17                 Uplink-powerControlId-r17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Cond JointTCI</w:t>
      </w:r>
    </w:p>
    <w:p w14:paraId="4136836F"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635D0D51"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03D4CE05"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F05762"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w:t>
      </w:r>
    </w:p>
    <w:p w14:paraId="1E231FC8" w14:textId="7F4349D3" w:rsidR="00F51E57" w:rsidRPr="00BC5F99" w:rsidRDefault="00F51E57" w:rsidP="009339CB">
      <w:pPr>
        <w:rPr>
          <w:u w:val="single"/>
        </w:rPr>
      </w:pPr>
      <w:r w:rsidRPr="00BC5F99">
        <w:rPr>
          <w:u w:val="single"/>
        </w:rPr>
        <w:t>UL TCI state</w:t>
      </w:r>
    </w:p>
    <w:p w14:paraId="3DAD764A"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TCI-UL-State-r17 ::=             </w:t>
      </w:r>
      <w:r w:rsidRPr="00BC5F99">
        <w:rPr>
          <w:rFonts w:ascii="Courier New" w:hAnsi="Courier New"/>
          <w:noProof/>
          <w:color w:val="993366"/>
          <w:sz w:val="16"/>
          <w:lang w:eastAsia="en-GB"/>
        </w:rPr>
        <w:t>SEQUENCE</w:t>
      </w:r>
      <w:r w:rsidRPr="00BC5F99">
        <w:rPr>
          <w:rFonts w:ascii="Courier New" w:hAnsi="Courier New"/>
          <w:noProof/>
          <w:sz w:val="16"/>
          <w:lang w:eastAsia="en-GB"/>
        </w:rPr>
        <w:t xml:space="preserve"> {</w:t>
      </w:r>
    </w:p>
    <w:p w14:paraId="429FB8B1"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tci-UL-State-Id-r17              TCI-UL-State-Id-r17,</w:t>
      </w:r>
    </w:p>
    <w:p w14:paraId="047D46E8"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servingCellId-r17                ServCellIndex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Need R</w:t>
      </w:r>
    </w:p>
    <w:p w14:paraId="5515D546"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bwp-Id-r17                       BWP-Id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Cond CSI-RSorSRS-Indicated</w:t>
      </w:r>
    </w:p>
    <w:p w14:paraId="41A3B19A"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referenceSignal-r17              </w:t>
      </w:r>
      <w:r w:rsidRPr="00BC5F99">
        <w:rPr>
          <w:rFonts w:ascii="Courier New" w:hAnsi="Courier New"/>
          <w:noProof/>
          <w:color w:val="993366"/>
          <w:sz w:val="16"/>
          <w:lang w:eastAsia="en-GB"/>
        </w:rPr>
        <w:t>CHOICE</w:t>
      </w:r>
      <w:r w:rsidRPr="00BC5F99">
        <w:rPr>
          <w:rFonts w:ascii="Courier New" w:hAnsi="Courier New"/>
          <w:noProof/>
          <w:sz w:val="16"/>
          <w:lang w:eastAsia="en-GB"/>
        </w:rPr>
        <w:t xml:space="preserve"> {</w:t>
      </w:r>
    </w:p>
    <w:p w14:paraId="3FE12C40"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ssb-Index-r17                    SSB-Index,</w:t>
      </w:r>
    </w:p>
    <w:p w14:paraId="3C6B5BC8"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csi-RS-Index-r17                 NZP-CSI-RS-ResourceId,</w:t>
      </w:r>
    </w:p>
    <w:p w14:paraId="7DACDAE6"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srs-r17                          SRS-ResourceId</w:t>
      </w:r>
    </w:p>
    <w:p w14:paraId="6B56A230"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7598F65B"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additionalPCI-r17                AdditionalPCIIndex-r17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Need R</w:t>
      </w:r>
    </w:p>
    <w:p w14:paraId="0830090F"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ul-powerControl-r17              Uplink-powerControlId-r17                             </w:t>
      </w:r>
      <w:r w:rsidRPr="00BC5F99">
        <w:rPr>
          <w:rFonts w:ascii="Courier New" w:hAnsi="Courier New"/>
          <w:noProof/>
          <w:color w:val="993366"/>
          <w:sz w:val="16"/>
          <w:lang w:eastAsia="en-GB"/>
        </w:rPr>
        <w:t>OPTIONAL</w:t>
      </w:r>
      <w:r w:rsidRPr="00BC5F99">
        <w:rPr>
          <w:rFonts w:ascii="Courier New" w:hAnsi="Courier New"/>
          <w:noProof/>
          <w:sz w:val="16"/>
          <w:lang w:eastAsia="en-GB"/>
        </w:rPr>
        <w:t xml:space="preserve">,   </w:t>
      </w:r>
      <w:r w:rsidRPr="00BC5F99">
        <w:rPr>
          <w:rFonts w:ascii="Courier New" w:hAnsi="Courier New"/>
          <w:noProof/>
          <w:color w:val="808080"/>
          <w:sz w:val="16"/>
          <w:lang w:eastAsia="en-GB"/>
        </w:rPr>
        <w:t>-- Need R</w:t>
      </w:r>
    </w:p>
    <w:p w14:paraId="35D82BA3"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5F99">
        <w:rPr>
          <w:rFonts w:ascii="Courier New" w:hAnsi="Courier New"/>
          <w:noProof/>
          <w:sz w:val="16"/>
          <w:lang w:eastAsia="en-GB"/>
        </w:rPr>
        <w:t xml:space="preserve">    </w:t>
      </w:r>
      <w:r w:rsidRPr="00BC5F99">
        <w:rPr>
          <w:rFonts w:ascii="Courier New" w:hAnsi="Courier New"/>
          <w:noProof/>
          <w:sz w:val="16"/>
          <w:highlight w:val="yellow"/>
          <w:lang w:eastAsia="en-GB"/>
        </w:rPr>
        <w:t xml:space="preserve">pathlossReferenceRS-Id-r17       PUSCH-PathlossReferenceRS-Id-r17                      </w:t>
      </w:r>
      <w:r w:rsidRPr="00BC5F99">
        <w:rPr>
          <w:rFonts w:ascii="Courier New" w:hAnsi="Courier New"/>
          <w:noProof/>
          <w:color w:val="993366"/>
          <w:sz w:val="16"/>
          <w:highlight w:val="yellow"/>
          <w:lang w:eastAsia="en-GB"/>
        </w:rPr>
        <w:t>OPTIONAL</w:t>
      </w:r>
      <w:r w:rsidRPr="00BC5F99">
        <w:rPr>
          <w:rFonts w:ascii="Courier New" w:hAnsi="Courier New"/>
          <w:noProof/>
          <w:sz w:val="16"/>
          <w:highlight w:val="yellow"/>
          <w:lang w:eastAsia="en-GB"/>
        </w:rPr>
        <w:t xml:space="preserve">,   </w:t>
      </w:r>
      <w:r w:rsidRPr="00BC5F99">
        <w:rPr>
          <w:rFonts w:ascii="Courier New" w:hAnsi="Courier New"/>
          <w:noProof/>
          <w:color w:val="808080"/>
          <w:sz w:val="16"/>
          <w:highlight w:val="yellow"/>
          <w:lang w:eastAsia="en-GB"/>
        </w:rPr>
        <w:t>-- Need R</w:t>
      </w:r>
    </w:p>
    <w:p w14:paraId="410EE5FB"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739998E2"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 xml:space="preserve">          </w:t>
      </w:r>
    </w:p>
    <w:p w14:paraId="668B19F9" w14:textId="77777777" w:rsidR="00F51E57" w:rsidRPr="00BC5F99" w:rsidRDefault="00F51E57" w:rsidP="00F51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5F99">
        <w:rPr>
          <w:rFonts w:ascii="Courier New" w:hAnsi="Courier New"/>
          <w:noProof/>
          <w:sz w:val="16"/>
          <w:lang w:eastAsia="en-GB"/>
        </w:rPr>
        <w:t>}</w:t>
      </w:r>
    </w:p>
    <w:p w14:paraId="0F455330" w14:textId="2203A326" w:rsidR="00F51E57" w:rsidRPr="00BC5F99" w:rsidRDefault="00F51E57" w:rsidP="009339CB"/>
    <w:p w14:paraId="0096BB4E" w14:textId="6CBC4AD1" w:rsidR="003672A1" w:rsidRPr="00BC5F99" w:rsidRDefault="003672A1" w:rsidP="009339CB">
      <w:r w:rsidRPr="00BC5F99">
        <w:t>From RAN2 viewpoint, the PL-RS configuration is not a problem, it’s the activation. Hence, it seems RAN2 can only answer that PL-RS configuration is up to network configuration and it is not specified how network uses that.</w:t>
      </w:r>
    </w:p>
    <w:p w14:paraId="0E8F3242" w14:textId="6B1D7AE2" w:rsidR="003672A1" w:rsidRPr="00BC5F99" w:rsidRDefault="003672A1" w:rsidP="009339CB">
      <w:r w:rsidRPr="00BC5F99">
        <w:rPr>
          <w:b/>
          <w:bCs/>
        </w:rPr>
        <w:t>Proposal 1:</w:t>
      </w:r>
      <w:r w:rsidRPr="00BC5F99">
        <w:t xml:space="preserve"> Answer to Q1 that it is up to network implementation how to configure the PL-RS for UL and joint TCI states.</w:t>
      </w:r>
    </w:p>
    <w:p w14:paraId="6D3BCA9D" w14:textId="58A40DB7" w:rsidR="00F85E43" w:rsidRPr="00BC5F99" w:rsidRDefault="00F85E43" w:rsidP="00F85E43">
      <w:pPr>
        <w:pStyle w:val="Heading2"/>
      </w:pPr>
      <w:r w:rsidRPr="00BC5F99">
        <w:t>2.2</w:t>
      </w:r>
      <w:r w:rsidRPr="00BC5F99">
        <w:tab/>
        <w:t>Question 2: PL-RS maintenance</w:t>
      </w:r>
    </w:p>
    <w:p w14:paraId="090057FA" w14:textId="178EF31B" w:rsidR="00F85E43" w:rsidRPr="00BC5F99" w:rsidRDefault="003672A1" w:rsidP="009339CB">
      <w:r w:rsidRPr="00BC5F99">
        <w:t>The second question from RAN4 asks whether UE is expected to maintain PL-RS for all active UL/Joint TCI states. From RAN2 viewpoint, this only matters for the activated TCI states since RAN2 assumes UE can always have pathloss estimate available for PUSCH transmission: If it doesn’t, it cannot send anything in UL.</w:t>
      </w:r>
    </w:p>
    <w:p w14:paraId="11FAF4F6" w14:textId="1240C822" w:rsidR="003672A1" w:rsidRPr="00BC5F99" w:rsidRDefault="003672A1" w:rsidP="003672A1">
      <w:r w:rsidRPr="00BC5F99">
        <w:rPr>
          <w:b/>
          <w:bCs/>
        </w:rPr>
        <w:t>Proposal 2:</w:t>
      </w:r>
      <w:r w:rsidRPr="00BC5F99">
        <w:t xml:space="preserve"> Answer to Q2 that it is up RAN1 how the PL-RS maintenance is done, but RAN2 assumes PL-RS is available if UE is to transmit in UL.</w:t>
      </w:r>
    </w:p>
    <w:p w14:paraId="7E52D378" w14:textId="28D6C031" w:rsidR="00F85E43" w:rsidRPr="00BC5F99" w:rsidRDefault="00F85E43" w:rsidP="00F85E43">
      <w:pPr>
        <w:pStyle w:val="Heading2"/>
      </w:pPr>
      <w:r w:rsidRPr="00BC5F99">
        <w:t>2.3</w:t>
      </w:r>
      <w:r w:rsidRPr="00BC5F99">
        <w:tab/>
        <w:t>Question 3: UE behaviour with &gt;4 active UL/joint TCI states</w:t>
      </w:r>
    </w:p>
    <w:p w14:paraId="73F7A3C6" w14:textId="3064A882" w:rsidR="00F85E43" w:rsidRPr="00BC5F99" w:rsidRDefault="003672A1" w:rsidP="009339CB">
      <w:r w:rsidRPr="00BC5F99">
        <w:t>The third question asks what happens if &gt;4 UL/Joint TCI states are activated. Considering the usual RAN2 paradigm that network only configures UE to do something it is capable of, the UE behaviour may not be defined.  From RAN2 perspective it makes little sense to even allow capabilities that would enable such operation if it’s not defined in RAN1 specification. That is, UE capabilities that allow &gt;4 UL/Joint TCI states to be activated should not be allowed in a release where the UE behaviour is not specified. Therefore, RAN2 could answer that if only up to 4 UL/Joint TCI states can be activated, then both RRC and MAC should state that configuration doing something additional to that should not be allowed.</w:t>
      </w:r>
    </w:p>
    <w:p w14:paraId="175CEE1E" w14:textId="4A336C42" w:rsidR="009339CB" w:rsidRPr="00BC5F99" w:rsidRDefault="003672A1" w:rsidP="006D3AB0">
      <w:r w:rsidRPr="00BC5F99">
        <w:rPr>
          <w:b/>
          <w:bCs/>
        </w:rPr>
        <w:t>Proposal 3:</w:t>
      </w:r>
      <w:r w:rsidRPr="00BC5F99">
        <w:t xml:space="preserve"> Answer to Q3 that normally RAN2 assumes network only configures or activates UE behaviour that is specified. If </w:t>
      </w:r>
      <w:r w:rsidR="006D3AB0" w:rsidRPr="00BC5F99">
        <w:t>only up to 4 UL/Joint TCI states should be activated, RAN2 might have to clarify that in RRC, UE and/or MAC specification.</w:t>
      </w:r>
    </w:p>
    <w:p w14:paraId="69B7B8E6" w14:textId="69E07FC9" w:rsidR="009339CB" w:rsidRPr="00BC5F99" w:rsidRDefault="005A13AB" w:rsidP="009339CB">
      <w:pPr>
        <w:pStyle w:val="Heading1"/>
      </w:pPr>
      <w:r w:rsidRPr="00BC5F99">
        <w:lastRenderedPageBreak/>
        <w:t>3</w:t>
      </w:r>
      <w:r w:rsidR="009339CB" w:rsidRPr="00BC5F99">
        <w:tab/>
        <w:t>Conclusion</w:t>
      </w:r>
    </w:p>
    <w:p w14:paraId="6E24B0F4" w14:textId="01695083" w:rsidR="009339CB" w:rsidRPr="00BC5F99" w:rsidRDefault="009339CB" w:rsidP="009339CB">
      <w:r w:rsidRPr="00BC5F99">
        <w:t>This document has made the following observations:</w:t>
      </w:r>
    </w:p>
    <w:p w14:paraId="232FE84D" w14:textId="77777777" w:rsidR="006D3AB0" w:rsidRPr="00BC5F99" w:rsidRDefault="006D3AB0" w:rsidP="006D3AB0">
      <w:r w:rsidRPr="00BC5F99">
        <w:rPr>
          <w:b/>
          <w:bCs/>
        </w:rPr>
        <w:t>Observation 1:</w:t>
      </w:r>
      <w:r w:rsidRPr="00BC5F99">
        <w:t xml:space="preserve"> The questions Q1-Q3 are mostly related to RAN1 but also have some RAN2 aspects to consider.</w:t>
      </w:r>
    </w:p>
    <w:p w14:paraId="3BE72BE2" w14:textId="77777777" w:rsidR="009339CB" w:rsidRPr="00BC5F99" w:rsidRDefault="009339CB" w:rsidP="009339CB">
      <w:pPr>
        <w:rPr>
          <w:bCs/>
        </w:rPr>
      </w:pPr>
      <w:r w:rsidRPr="00BC5F99">
        <w:rPr>
          <w:bCs/>
        </w:rPr>
        <w:t>And proposed the following:</w:t>
      </w:r>
    </w:p>
    <w:p w14:paraId="2D561D34" w14:textId="77777777" w:rsidR="006D3AB0" w:rsidRPr="00BC5F99" w:rsidRDefault="006D3AB0" w:rsidP="006D3AB0">
      <w:r w:rsidRPr="00BC5F99">
        <w:rPr>
          <w:b/>
          <w:bCs/>
        </w:rPr>
        <w:t>Proposal 1:</w:t>
      </w:r>
      <w:r w:rsidRPr="00BC5F99">
        <w:t xml:space="preserve"> Answer to Q1 that it is up to network implementation how to configure the PL-RS for UL and joint TCI states.</w:t>
      </w:r>
    </w:p>
    <w:p w14:paraId="5BAB2A6E" w14:textId="77777777" w:rsidR="006D3AB0" w:rsidRPr="00BC5F99" w:rsidRDefault="006D3AB0" w:rsidP="006D3AB0">
      <w:r w:rsidRPr="00BC5F99">
        <w:rPr>
          <w:b/>
          <w:bCs/>
        </w:rPr>
        <w:t>Proposal 2:</w:t>
      </w:r>
      <w:r w:rsidRPr="00BC5F99">
        <w:t xml:space="preserve"> Answer to Q2 that it is up RAN1 how the PL-RS maintenance is done, but RAN2 assumes PL-RS is available if UE is to transmit in UL.</w:t>
      </w:r>
    </w:p>
    <w:p w14:paraId="1EA44398" w14:textId="77777777" w:rsidR="006D3AB0" w:rsidRPr="00BC5F99" w:rsidRDefault="006D3AB0" w:rsidP="006D3AB0">
      <w:r w:rsidRPr="00BC5F99">
        <w:rPr>
          <w:b/>
          <w:bCs/>
        </w:rPr>
        <w:t>Proposal 3:</w:t>
      </w:r>
      <w:r w:rsidRPr="00BC5F99">
        <w:t xml:space="preserve"> Answer to Q3 that normally RAN2 assumes network only configures or activates UE behaviour that is specified. If only up to 4 UL/Joint TCI states should be activated, RAN2 might have to clarify that in RRC, UE and/or MAC specification.</w:t>
      </w:r>
    </w:p>
    <w:p w14:paraId="2277546F" w14:textId="77777777" w:rsidR="009339CB" w:rsidRPr="00BC5F99" w:rsidRDefault="009339CB" w:rsidP="009339CB"/>
    <w:p w14:paraId="56EEE39D" w14:textId="77777777" w:rsidR="009339CB" w:rsidRPr="00BC5F99" w:rsidRDefault="009339CB" w:rsidP="009339CB"/>
    <w:p w14:paraId="259EEE34" w14:textId="77777777" w:rsidR="009339CB" w:rsidRPr="00BC5F99" w:rsidRDefault="009339CB" w:rsidP="009339CB"/>
    <w:p w14:paraId="35F222F4" w14:textId="77777777" w:rsidR="00080512" w:rsidRPr="00BC5F99" w:rsidRDefault="00080512" w:rsidP="009339CB"/>
    <w:sectPr w:rsidR="00080512" w:rsidRPr="00BC5F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DDDC" w14:textId="77777777" w:rsidR="00211438" w:rsidRDefault="00211438">
      <w:r>
        <w:separator/>
      </w:r>
    </w:p>
  </w:endnote>
  <w:endnote w:type="continuationSeparator" w:id="0">
    <w:p w14:paraId="2272F0AC" w14:textId="77777777" w:rsidR="00211438" w:rsidRDefault="00211438">
      <w:r>
        <w:continuationSeparator/>
      </w:r>
    </w:p>
  </w:endnote>
  <w:endnote w:type="continuationNotice" w:id="1">
    <w:p w14:paraId="28DA4E26" w14:textId="77777777" w:rsidR="00211438" w:rsidRDefault="00211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6BE1" w14:textId="77777777" w:rsidR="00211438" w:rsidRDefault="00211438">
      <w:r>
        <w:separator/>
      </w:r>
    </w:p>
  </w:footnote>
  <w:footnote w:type="continuationSeparator" w:id="0">
    <w:p w14:paraId="53CAA40E" w14:textId="77777777" w:rsidR="00211438" w:rsidRDefault="00211438">
      <w:r>
        <w:continuationSeparator/>
      </w:r>
    </w:p>
  </w:footnote>
  <w:footnote w:type="continuationNotice" w:id="1">
    <w:p w14:paraId="6BCCA055" w14:textId="77777777" w:rsidR="00211438" w:rsidRDefault="002114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67D34"/>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11438"/>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672A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D3AB0"/>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0F77"/>
    <w:rsid w:val="007A2E55"/>
    <w:rsid w:val="007B18D8"/>
    <w:rsid w:val="007C095F"/>
    <w:rsid w:val="007C2DD0"/>
    <w:rsid w:val="007F2E08"/>
    <w:rsid w:val="008024FA"/>
    <w:rsid w:val="008028A4"/>
    <w:rsid w:val="00813245"/>
    <w:rsid w:val="00822623"/>
    <w:rsid w:val="00840DE0"/>
    <w:rsid w:val="00847CD0"/>
    <w:rsid w:val="008607A8"/>
    <w:rsid w:val="0086354A"/>
    <w:rsid w:val="008768CA"/>
    <w:rsid w:val="00877EF9"/>
    <w:rsid w:val="00880559"/>
    <w:rsid w:val="008947B2"/>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BC5F99"/>
    <w:rsid w:val="00C12B51"/>
    <w:rsid w:val="00C24650"/>
    <w:rsid w:val="00C25465"/>
    <w:rsid w:val="00C33079"/>
    <w:rsid w:val="00C55A12"/>
    <w:rsid w:val="00C6553E"/>
    <w:rsid w:val="00C83A13"/>
    <w:rsid w:val="00C86F10"/>
    <w:rsid w:val="00C9068C"/>
    <w:rsid w:val="00C92967"/>
    <w:rsid w:val="00CA3D0C"/>
    <w:rsid w:val="00CA654B"/>
    <w:rsid w:val="00CB4F00"/>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1E57"/>
    <w:rsid w:val="00F54A3D"/>
    <w:rsid w:val="00F54CB0"/>
    <w:rsid w:val="00F579CD"/>
    <w:rsid w:val="00F653B8"/>
    <w:rsid w:val="00F71B89"/>
    <w:rsid w:val="00F7353C"/>
    <w:rsid w:val="00F76F8F"/>
    <w:rsid w:val="00F85E43"/>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85E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F85E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9bis-e/Docs/R2-220934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5AIRPNAIUNRU-859666464-12607</_dlc_DocId>
    <_dlc_DocIdUrl xmlns="71c5aaf6-e6ce-465b-b873-5148d2a4c105">
      <Url>https://nokia.sharepoint.com/sites/c5g/e2earch/_layouts/15/DocIdRedir.aspx?ID=5AIRPNAIUNRU-859666464-12607</Url>
      <Description>5AIRPNAIUNRU-859666464-12607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706F31-B1FB-4FDB-B5FA-75A721D2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6825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2022-09-30T07:47:00Z</dcterms:created>
  <dcterms:modified xsi:type="dcterms:W3CDTF">2022-09-30T08:18:00Z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aefe8218-fbd0-4231-a196-58485230951e</vt:lpwstr>
  </property>
</Properties>
</file>